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1F2D3D"/>
          <w:sz w:val="40"/>
        </w:rPr>
        <w:t>How the OBE Course Manager Calculates CO &amp; PO Attainment</w:t>
      </w:r>
    </w:p>
    <w:p>
      <w:pPr>
        <w:spacing w:after="40"/>
        <w:jc w:val="center"/>
      </w:pPr>
      <w:r>
        <w:rPr>
          <w:b w:val="0"/>
          <w:i w:val="0"/>
          <w:color w:val="0F6B5C"/>
          <w:sz w:val="24"/>
        </w:rPr>
        <w:t>A Methodology Guide for Faculty Members — interpreting the numbers with confidence</w:t>
      </w:r>
    </w:p>
    <w:p>
      <w:pPr>
        <w:spacing w:after="120"/>
        <w:jc w:val="center"/>
      </w:pPr>
      <w:r>
        <w:rPr>
          <w:b w:val="0"/>
          <w:i w:val="0"/>
          <w:color w:val="6B7A8D"/>
          <w:sz w:val="18"/>
        </w:rPr>
        <w:t>Applies to OBE Course Manager v2.19 (core calculations unchanged since v1.20; Group and choice-scheme settings live under each assessment's ⚙ Advanced panel; Class Performance assessments are described in Annex B; item Bloom levels, the CA tab and the PO Indicators of Framework Version 3 are alignment/documentation aids and do not enter the attainment mathematics) · © 2026 Prof. Mazharul Islam (mazhar17.github.io/MI) · CC BY 4.0</w:t>
      </w:r>
    </w:p>
    <w:p>
      <w:pPr>
        <w:pStyle w:val="Heading1"/>
      </w:pPr>
      <w:r>
        <w:rPr>
          <w:rFonts w:ascii="Calibri" w:hAnsi="Calibri"/>
          <w:color w:val="0A4A40"/>
        </w:rPr>
        <w:t>1. The Building Blocks</w:t>
      </w:r>
    </w:p>
    <w:p>
      <w:pPr>
        <w:spacing w:after="120"/>
      </w:pPr>
      <w:r>
        <w:rPr>
          <w:b w:val="0"/>
          <w:i w:val="0"/>
          <w:color w:val="1F2D3D"/>
        </w:rPr>
        <w:t>Everything the tool computes flows from one structure: every assessment item (a question, or a sub-part of a question) carries four properties set in the Assessment Plan: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Property</w:t>
            </w:r>
          </w:p>
        </w:tc>
        <w:tc>
          <w:tcPr>
            <w:tcW w:type="dxa" w:w="7257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Meaning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CO tag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The Course Outcome the item examines. This is what connects marks to outcomes.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Maximum marks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The item's full marks.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Mandatory?</w:t>
            </w:r>
          </w:p>
        </w:tc>
        <w:tc>
          <w:tcPr>
            <w:tcW w:type="dxa" w:w="7257"/>
          </w:tcPr>
          <w:p>
            <w:r/>
            <w:r>
              <w:rPr>
                <w:sz w:val="20"/>
              </w:rPr>
              <w:t>Ticked (default): every student must attempt it. Unticked: the item is optional — part of a choice (e.g., “answer any four of Q2–Q7”).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Group</w:t>
            </w:r>
          </w:p>
        </w:tc>
        <w:tc>
          <w:tcPr>
            <w:tcW w:type="dxa" w:w="7257"/>
          </w:tcPr>
          <w:p>
            <w:r>
              <w:t>Choice questions that are sub-parts of one question share a group name (Q3a, Q3b → group “Q3”). The group is the unit of the student's choice.</w:t>
            </w:r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b/>
          <w:color w:val="B2761A"/>
        </w:rPr>
        <w:t xml:space="preserve">Key convention: </w:t>
      </w:r>
      <w:r>
        <w:t>in the marks grid, a BLANK cell means “the student did not attempt this item”; an entered 0 means “attempted and scored zero”. This distinction drives all fairness rules below.</w:t>
      </w:r>
    </w:p>
    <w:p>
      <w:pPr>
        <w:pStyle w:val="Heading1"/>
      </w:pPr>
      <w:r>
        <w:rPr>
          <w:rFonts w:ascii="Calibri" w:hAnsi="Calibri"/>
          <w:color w:val="0A4A40"/>
        </w:rPr>
        <w:t>2. Step 1 — Each Student's CO Score</w:t>
      </w:r>
    </w:p>
    <w:p>
      <w:pPr>
        <w:spacing w:after="120"/>
      </w:pPr>
      <w:r>
        <w:rPr>
          <w:b w:val="0"/>
          <w:i w:val="0"/>
          <w:color w:val="1F2D3D"/>
        </w:rPr>
        <w:t>For every student and every CO, the tool decides which items count for that student, then computes:</w:t>
      </w:r>
    </w:p>
    <w:p>
      <w:pPr>
        <w:spacing w:after="160"/>
        <w:ind w:left="454"/>
      </w:pPr>
      <w:r>
        <w:rPr>
          <w:rFonts w:ascii="Cambria Math" w:hAnsi="Cambria Math"/>
          <w:i/>
          <w:color w:val="0A4A40"/>
          <w:sz w:val="22"/>
        </w:rPr>
        <w:t>Student CO score (%) = (marks obtained on counted items ÷ maximum marks of counted items) × 100</w:t>
      </w:r>
    </w:p>
    <w:p>
      <w:pPr>
        <w:spacing w:after="120"/>
      </w:pPr>
      <w:r>
        <w:rPr>
          <w:b w:val="0"/>
          <w:i w:val="0"/>
          <w:color w:val="1F2D3D"/>
        </w:rPr>
        <w:t>An item counts for a student according to four rules, applied in order: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737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Rule</w:t>
            </w:r>
          </w:p>
        </w:tc>
        <w:tc>
          <w:tcPr>
            <w:tcW w:type="dxa" w:w="3402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Situation</w:t>
            </w:r>
          </w:p>
        </w:tc>
        <w:tc>
          <w:tcPr>
            <w:tcW w:type="dxa" w:w="5046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Effect on the student's calculation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R1</w:t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  <w:t>Item attempted (a mark is entered, including 0)</w:t>
            </w:r>
          </w:p>
        </w:tc>
        <w:tc>
          <w:tcPr>
            <w:tcW w:type="dxa" w:w="5046"/>
          </w:tcPr>
          <w:p>
            <w:r/>
            <w:r>
              <w:rPr>
                <w:sz w:val="20"/>
              </w:rPr>
              <w:t>Counts — marks and maximum both included.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R2</w:t>
            </w:r>
          </w:p>
        </w:tc>
        <w:tc>
          <w:tcPr>
            <w:tcW w:type="dxa" w:w="3402"/>
          </w:tcPr>
          <w:p>
            <w:r/>
            <w:r>
              <w:rPr>
                <w:sz w:val="20"/>
              </w:rPr>
              <w:t>Mandatory item left blank</w:t>
            </w:r>
          </w:p>
        </w:tc>
        <w:tc>
          <w:tcPr>
            <w:tcW w:type="dxa" w:w="5046"/>
          </w:tcPr>
          <w:p>
            <w:r/>
            <w:r>
              <w:rPr>
                <w:sz w:val="20"/>
              </w:rPr>
              <w:t>Counts as 0 — the maximum is included, no marks. The student is penalized: attempting it was required.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R3</w:t>
            </w:r>
          </w:p>
        </w:tc>
        <w:tc>
          <w:tcPr>
            <w:tcW w:type="dxa" w:w="3402"/>
          </w:tcPr>
          <w:p>
            <w:r>
              <w:t>Choice question left blank, but the student attempted another item of the same group</w:t>
            </w:r>
            <w:r>
              <w:rPr>
                <w:sz w:val="20"/>
              </w:rPr>
            </w:r>
          </w:p>
        </w:tc>
        <w:tc>
          <w:tcPr>
            <w:tcW w:type="dxa" w:w="5046"/>
          </w:tcPr>
          <w:p>
            <w:r/>
            <w:r>
              <w:rPr>
                <w:sz w:val="20"/>
              </w:rPr>
              <w:t>Counts as 0 — by attempting any sub-part, the student chose this question; unanswered sub-parts are incomplete answers, not choices. Partial answers are penalized.</w:t>
            </w:r>
          </w:p>
        </w:tc>
      </w:tr>
      <w:tr>
        <w:tc>
          <w:tcPr>
            <w:tcW w:type="dxa" w:w="737"/>
          </w:tcPr>
          <w:p>
            <w:r/>
            <w:r>
              <w:rPr>
                <w:sz w:val="20"/>
              </w:rPr>
              <w:t>R4</w:t>
            </w:r>
          </w:p>
        </w:tc>
        <w:tc>
          <w:tcPr>
            <w:tcW w:type="dxa" w:w="3402"/>
          </w:tcPr>
          <w:p>
            <w:r>
              <w:t>Choice question left blank, and no item of its group was attempted</w:t>
            </w:r>
            <w:r>
              <w:rPr>
                <w:sz w:val="20"/>
              </w:rPr>
            </w:r>
          </w:p>
        </w:tc>
        <w:tc>
          <w:tcPr>
            <w:tcW w:type="dxa" w:w="5046"/>
          </w:tcPr>
          <w:p>
            <w:r/>
            <w:r>
              <w:rPr>
                <w:sz w:val="20"/>
              </w:rPr>
              <w:t>Excluded entirely — the student legitimately used the choice offered by the exam. No penalty.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  <w:color w:val="1F2D3D"/>
        </w:rPr>
        <w:t xml:space="preserve">If nothing counts for a student under a CO (all its items optional and none attempted), that student is excluded from that CO's cohort — the per-CO </w:t>
      </w:r>
      <w:r>
        <w:rPr>
          <w:b/>
          <w:i w:val="0"/>
          <w:color w:val="1F2D3D"/>
        </w:rPr>
        <w:t>n</w:t>
      </w:r>
      <w:r>
        <w:rPr>
          <w:b w:val="0"/>
          <w:i w:val="0"/>
          <w:color w:val="1F2D3D"/>
        </w:rPr>
        <w:t xml:space="preserve"> shown in the Attainment tab. Different COs can therefore have different n; this is correct, not an error.</w:t>
      </w:r>
    </w:p>
    <w:p>
      <w:pPr>
        <w:pStyle w:val="Heading2"/>
      </w:pPr>
      <w:r>
        <w:rPr>
          <w:rFonts w:ascii="Calibri" w:hAnsi="Calibri"/>
          <w:color w:val="0F6B5C"/>
        </w:rPr>
        <w:t>2.1 Worked example</w:t>
      </w:r>
    </w:p>
    <w:p>
      <w:pPr>
        <w:spacing w:after="120"/>
      </w:pPr>
      <w:r>
        <w:rPr>
          <w:b w:val="0"/>
          <w:i w:val="0"/>
          <w:color w:val="1F2D3D"/>
        </w:rPr>
        <w:t>Final Exam: Q1 (mandatory, 20 marks, CO1); choice question Q3 with sub-parts Q3a (10) and Q3b (10), both CO2, group “Q3”; optional ungrouped Q4 (20 marks, CO2).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964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Student</w:t>
            </w:r>
          </w:p>
        </w:tc>
        <w:tc>
          <w:tcPr>
            <w:tcW w:type="dxa" w:w="2268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Marks entered</w:t>
            </w:r>
          </w:p>
        </w:tc>
        <w:tc>
          <w:tcPr>
            <w:tcW w:type="dxa" w:w="1474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CO1 score</w:t>
            </w:r>
          </w:p>
        </w:tc>
        <w:tc>
          <w:tcPr>
            <w:tcW w:type="dxa" w:w="1928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CO2 score</w:t>
            </w:r>
          </w:p>
        </w:tc>
        <w:tc>
          <w:tcPr>
            <w:tcW w:type="dxa" w:w="2551"/>
            <w:shd w:val="clear" w:fill="E6F2F0"/>
          </w:tcPr>
          <w:p>
            <w:r/>
            <w:r>
              <w:rPr>
                <w:b/>
                <w:color w:val="0A4A40"/>
                <w:sz w:val="20"/>
              </w:rPr>
              <w:t>Why</w:t>
            </w:r>
          </w:p>
        </w:tc>
      </w:tr>
      <w:tr>
        <w:tc>
          <w:tcPr>
            <w:tcW w:type="dxa" w:w="964"/>
          </w:tcPr>
          <w:p>
            <w:r/>
            <w:r>
              <w:rPr>
                <w:sz w:val="20"/>
              </w:rPr>
              <w:t>A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Q1=15, Q3a=8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15/20 = 75%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(8+0)/(10+10) = 40%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  <w:t>Chose Q3 (attempted Q3a) → blank Q3b counts as 0 (R3). Q4 untouched → excluded (R4).</w:t>
            </w:r>
          </w:p>
        </w:tc>
      </w:tr>
      <w:tr>
        <w:tc>
          <w:tcPr>
            <w:tcW w:type="dxa" w:w="964"/>
          </w:tcPr>
          <w:p>
            <w:r/>
            <w:r>
              <w:rPr>
                <w:sz w:val="20"/>
              </w:rPr>
              <w:t>B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Q1=10, Q4=16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10/20 = 50%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16/20 = 80%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  <w:t>Skipped group Q3 entirely → excluded (R4), no penalty. Q4 counts (R1).</w:t>
            </w:r>
          </w:p>
        </w:tc>
      </w:tr>
      <w:tr>
        <w:tc>
          <w:tcPr>
            <w:tcW w:type="dxa" w:w="964"/>
          </w:tcPr>
          <w:p>
            <w:r/>
            <w:r>
              <w:rPr>
                <w:sz w:val="20"/>
              </w:rPr>
              <w:t>C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Q1=12, Q3a=6, Q3b=7</w:t>
            </w:r>
          </w:p>
        </w:tc>
        <w:tc>
          <w:tcPr>
            <w:tcW w:type="dxa" w:w="1474"/>
          </w:tcPr>
          <w:p>
            <w:r/>
            <w:r>
              <w:rPr>
                <w:sz w:val="20"/>
              </w:rPr>
              <w:t>12/20 = 60%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13/20 = 65%</w:t>
            </w:r>
          </w:p>
        </w:tc>
        <w:tc>
          <w:tcPr>
            <w:tcW w:type="dxa" w:w="2551"/>
          </w:tcPr>
          <w:p>
            <w:r/>
            <w:r>
              <w:rPr>
                <w:sz w:val="20"/>
              </w:rPr>
              <w:t>Full answer to the chosen question (R1).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  <w:color w:val="1F2D3D"/>
        </w:rPr>
        <w:t>Note the fairness at work: without groups, Student A would score 8/10 = 80% on CO2 despite an incomplete answer; without the optional rule, Student B would be punished with 16/40 = 40% for a choice the exam explicitly allowed. The rules give 40% and 80% respectively — matching what each student actually demonstrated.</w:t>
      </w:r>
    </w:p>
    <w:p>
      <w:pPr>
        <w:pStyle w:val="Heading1"/>
      </w:pPr>
      <w:r>
        <w:rPr>
          <w:rFonts w:ascii="Calibri" w:hAnsi="Calibri"/>
          <w:color w:val="0A4A40"/>
        </w:rPr>
        <w:t>3. Step 2 — CO Attainment</w:t>
      </w:r>
    </w:p>
    <w:p>
      <w:pPr>
        <w:spacing w:after="120"/>
      </w:pPr>
      <w:r>
        <w:rPr>
          <w:b w:val="0"/>
          <w:i w:val="0"/>
          <w:color w:val="1F2D3D"/>
        </w:rPr>
        <w:t>With every assessed student's CO score in hand, the tool asks a simple question per CO: what percentage of the assessed students scored strictly above the Target Pass Marks (default 40)?</w:t>
      </w:r>
    </w:p>
    <w:p>
      <w:pPr>
        <w:spacing w:after="160"/>
        <w:ind w:left="454"/>
      </w:pPr>
      <w:r>
        <w:rPr>
          <w:rFonts w:ascii="Cambria Math" w:hAnsi="Cambria Math"/>
          <w:i/>
          <w:color w:val="0A4A40"/>
          <w:sz w:val="22"/>
        </w:rPr>
        <w:t>CO attainment (%) = (students with CO score &gt; Target Pass Marks) ÷ (assessed students, n) × 100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Strictly above: </w:t>
      </w:r>
      <w:r>
        <w:rPr>
          <w:b w:val="0"/>
          <w:i w:val="0"/>
          <w:color w:val="1F2D3D"/>
          <w:sz w:val="22"/>
        </w:rPr>
        <w:t>a score of exactly 40% does not pass — identical to the AUST Direct CO-PO Calculations workbook (COUNTIF “&gt;40”).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The CO is ATTAINED </w:t>
      </w:r>
      <w:r>
        <w:rPr>
          <w:b w:val="0"/>
          <w:i w:val="0"/>
          <w:color w:val="1F2D3D"/>
          <w:sz w:val="22"/>
        </w:rPr>
        <w:t>when this percentage reaches the Target KPI (default 50%).</w:t>
      </w:r>
    </w:p>
    <w:p>
      <w:pPr>
        <w:pStyle w:val="ListBullet"/>
        <w:spacing w:after="80"/>
      </w:pPr>
      <w:r>
        <w:rPr>
          <w:b w:val="0"/>
          <w:i w:val="0"/>
          <w:color w:val="1F2D3D"/>
          <w:sz w:val="22"/>
        </w:rPr>
        <w:t xml:space="preserve">A second measure, </w:t>
      </w:r>
      <w:r>
        <w:rPr>
          <w:b/>
          <w:i w:val="0"/>
          <w:color w:val="1F2D3D"/>
          <w:sz w:val="22"/>
        </w:rPr>
        <w:t>% of students above the KPI marks (default 50)</w:t>
      </w:r>
      <w:r>
        <w:rPr>
          <w:b w:val="0"/>
          <w:i w:val="0"/>
          <w:color w:val="1F2D3D"/>
          <w:sz w:val="22"/>
        </w:rPr>
        <w:t>, is reported alongside, again matching the workbook.</w:t>
      </w:r>
    </w:p>
    <w:p>
      <w:pPr>
        <w:spacing w:after="120"/>
      </w:pPr>
      <w:r>
        <w:rPr>
          <w:b w:val="0"/>
          <w:i w:val="0"/>
          <w:color w:val="1F2D3D"/>
        </w:rPr>
        <w:t>Continuing the example, CO2 scores were 40% (A), 80% (B), 65% (C): students above 40 = B and C → CO2 attainment = 2/3 = 66.7% ≥ 50 → ATTAINED. Note that A's 40% does not count as above 40. CO1: 75, 50, 60 → all above 40 → 100% → ATTAINED.</w:t>
      </w:r>
    </w:p>
    <w:p>
      <w:pPr>
        <w:pStyle w:val="Heading1"/>
      </w:pPr>
      <w:r>
        <w:rPr>
          <w:rFonts w:ascii="Calibri" w:hAnsi="Calibri"/>
          <w:color w:val="0A4A40"/>
        </w:rPr>
        <w:t>4. Step 3 — PO Attainment (the course's contribution)</w:t>
      </w:r>
    </w:p>
    <w:p>
      <w:pPr>
        <w:spacing w:after="120"/>
      </w:pPr>
      <w:r>
        <w:rPr>
          <w:b w:val="0"/>
          <w:i w:val="0"/>
          <w:color w:val="1F2D3D"/>
        </w:rPr>
        <w:t>Program Outcomes are measured through the COs mapped to them (a ✓ in the CO–PO matrix). For each student, the PO score is the average of that student's CO scores over the mapped COs, weighted by each CO's allocated marks — a CO carrying 40 marks influences the PO twice as much as one carrying 20. Only COs on which the student was actually assessed enter their PO score.</w:t>
      </w:r>
    </w:p>
    <w:p>
      <w:pPr>
        <w:spacing w:after="160"/>
        <w:ind w:left="454"/>
      </w:pPr>
      <w:r>
        <w:rPr>
          <w:rFonts w:ascii="Cambria Math" w:hAnsi="Cambria Math"/>
          <w:i/>
          <w:color w:val="0A4A40"/>
          <w:sz w:val="22"/>
        </w:rPr>
        <w:t>Student PO score = Σ (CO score × CO allocated marks) ÷ Σ (CO allocated marks), over the student's assessed mapped COs</w:t>
      </w:r>
    </w:p>
    <w:p>
      <w:pPr>
        <w:spacing w:after="120"/>
      </w:pPr>
      <w:r>
        <w:rPr>
          <w:b w:val="0"/>
          <w:i w:val="0"/>
          <w:color w:val="1F2D3D"/>
        </w:rPr>
        <w:t>PO attainment then uses the same thresholds as COs: % of students strictly above the Target Pass Marks, judged against the Target KPI.</w:t>
      </w:r>
    </w:p>
    <w:p>
      <w:pPr>
        <w:spacing w:after="120"/>
      </w:pPr>
      <w:r>
        <w:rPr>
          <w:b w:val="0"/>
          <w:i w:val="0"/>
          <w:color w:val="1F2D3D"/>
        </w:rPr>
        <w:t>Example: PO1 is mapped from CO1 (20 marks) and CO2 (40 marks). Student A: (75×20 + 40×40)÷60 = 51.7. Student B: (50×20 + 80×40)÷60 = 70.0. Student C: (60×20 + 65×40)÷60 = 63.3. All three above 40 → PO1 attainment = 100% → ATTAINED.</w:t>
      </w:r>
    </w:p>
    <w:p>
      <w:pPr>
        <w:pStyle w:val="Heading1"/>
      </w:pPr>
      <w:r>
        <w:rPr>
          <w:rFonts w:ascii="Calibri" w:hAnsi="Calibri"/>
          <w:color w:val="0A4A40"/>
        </w:rPr>
        <w:t>5. Indirect Measurement — the CO Exit Survey</w:t>
      </w:r>
    </w:p>
    <w:p>
      <w:pPr>
        <w:spacing w:after="120"/>
      </w:pPr>
      <w:r>
        <w:rPr>
          <w:b w:val="0"/>
          <w:i w:val="0"/>
          <w:color w:val="1F2D3D"/>
        </w:rPr>
        <w:t>At semester end, students anonymously rate every CO: “After completing this course, I am able to …” on a 5-point Likert scale (5 = Strongly Agree … 1 = Strongly Disagree).</w:t>
      </w:r>
    </w:p>
    <w:p>
      <w:pPr>
        <w:spacing w:after="160"/>
        <w:ind w:left="454"/>
      </w:pPr>
      <w:r>
        <w:rPr>
          <w:rFonts w:ascii="Cambria Math" w:hAnsi="Cambria Math"/>
          <w:i/>
          <w:color w:val="0A4A40"/>
          <w:sz w:val="22"/>
        </w:rPr>
        <w:t>Indirect CO attainment (%) = responses rated ≥ Likert threshold (default 4) ÷ total responses × 100</w:t>
      </w:r>
    </w:p>
    <w:p>
      <w:pPr>
        <w:spacing w:after="120"/>
      </w:pPr>
      <w:r>
        <w:rPr>
          <w:b w:val="0"/>
          <w:i w:val="0"/>
          <w:color w:val="1F2D3D"/>
        </w:rPr>
        <w:t>Indirect PO values are derived through the same CO–PO mapping, weighted by CO allocated marks (equal weights if no marks are defined). Example: CO1 receives 20 responses — one 1, one 2, two 3s, six 4s, ten 5s. Responses ≥ 4: 16 → indirect attainment 80%; average rating 4.15/5.</w:t>
      </w:r>
    </w:p>
    <w:p>
      <w:pPr>
        <w:pStyle w:val="Heading1"/>
      </w:pPr>
      <w:r>
        <w:rPr>
          <w:rFonts w:ascii="Calibri" w:hAnsi="Calibri"/>
          <w:color w:val="0A4A40"/>
        </w:rPr>
        <w:t>6. Combined Attainment</w:t>
      </w:r>
    </w:p>
    <w:p>
      <w:pPr>
        <w:spacing w:after="120"/>
      </w:pPr>
      <w:r>
        <w:rPr>
          <w:b w:val="0"/>
          <w:i w:val="0"/>
          <w:color w:val="1F2D3D"/>
        </w:rPr>
        <w:t>Direct (marks-based) and indirect (survey-based) measurements are combined with editable weights, default 80/20:</w:t>
      </w:r>
    </w:p>
    <w:p>
      <w:pPr>
        <w:spacing w:after="160"/>
        <w:ind w:left="454"/>
      </w:pPr>
      <w:r>
        <w:rPr>
          <w:rFonts w:ascii="Cambria Math" w:hAnsi="Cambria Math"/>
          <w:i/>
          <w:color w:val="0A4A40"/>
          <w:sz w:val="22"/>
        </w:rPr>
        <w:t>Combined = (Direct × 80 + Indirect × 20) ÷ (80 + 20)</w:t>
      </w:r>
    </w:p>
    <w:p>
      <w:pPr>
        <w:spacing w:after="120"/>
      </w:pPr>
      <w:r>
        <w:rPr>
          <w:b w:val="0"/>
          <w:i w:val="0"/>
          <w:color w:val="1F2D3D"/>
        </w:rPr>
        <w:t>If one component has no data, the other is used alone. The combined figure is judged against the same Target KPI. Example: CO2 direct 66.7%, indirect 80% → combined = 0.8×66.7 + 0.2×80 = 69.3% → ATTAINED.</w:t>
      </w:r>
    </w:p>
    <w:p>
      <w:pPr>
        <w:pStyle w:val="Heading1"/>
      </w:pPr>
      <w:r>
        <w:rPr>
          <w:rFonts w:ascii="Calibri" w:hAnsi="Calibri"/>
          <w:color w:val="0A4A40"/>
        </w:rPr>
        <w:t>7. Reading the Numbers — Practical Interpretation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>n varies per CO by design. A small n on a CO assessed only through choice questions means few students chose it — a curriculum signal in itself, visible before any percentage is read.</w:t>
      </w:r>
      <w:r>
        <w:rPr>
          <w:b w:val="0"/>
          <w:i w:val="0"/>
          <w:color w:val="1F2D3D"/>
          <w:sz w:val="22"/>
        </w:rPr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Average score vs. attainment %: </w:t>
      </w:r>
      <w:r>
        <w:rPr>
          <w:b w:val="0"/>
          <w:i w:val="0"/>
          <w:color w:val="1F2D3D"/>
          <w:sz w:val="22"/>
        </w:rPr>
        <w:t>the average tells you how well the class performed; the attainment % tells you how many cleared the bar. A high average with low attainment indicates polarization — a strong group and a struggling group.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Not attained → diagnose, don't despair: </w:t>
      </w:r>
      <w:r>
        <w:rPr>
          <w:b w:val="0"/>
          <w:i w:val="0"/>
          <w:color w:val="1F2D3D"/>
          <w:sz w:val="22"/>
        </w:rPr>
        <w:t>the CQI tab's Low Attainment Analysis lists the students below the threshold and the average score of every item, highlighting the questions that pulled the CO down — then asks for your analysis w.r.t. teaching-learning activities and assessment techniques.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Thresholds are policy, not physics: </w:t>
      </w:r>
      <w:r>
        <w:rPr>
          <w:b w:val="0"/>
          <w:i w:val="0"/>
          <w:color w:val="1F2D3D"/>
          <w:sz w:val="22"/>
        </w:rPr>
        <w:t>Target Pass Marks (40), KPI marks (50), Target KPI (50%), Likert threshold (4) and the 80/20 weights are all editable per course in Course Info → Attainment Settings, and every printed document states the values used.</w:t>
      </w:r>
    </w:p>
    <w:p>
      <w:pPr>
        <w:pStyle w:val="Heading1"/>
      </w:pPr>
      <w:r>
        <w:rPr>
          <w:rFonts w:ascii="Calibri" w:hAnsi="Calibri"/>
          <w:color w:val="0A4A40"/>
        </w:rPr>
        <w:t>Annex A — v1.20: The Choice Scheme (“answer k of n”)</w:t>
      </w:r>
    </w:p>
    <w:p>
      <w:pPr>
        <w:spacing w:after="120"/>
      </w:pPr>
      <w:r>
        <w:rPr>
          <w:b/>
          <w:i w:val="0"/>
          <w:color w:val="1F2D3D"/>
        </w:rPr>
        <w:t>Status: implemented in v1.20; from v1.21 the settings are entered under the assessment's ⚙ Advanced (question choice) panel. The rules below describe how the tool treats students who answer fewer choice questions than the exam requires.</w:t>
      </w:r>
      <w:r>
        <w:rPr>
          <w:b w:val="0"/>
          <w:i w:val="0"/>
          <w:color w:val="1F2D3D"/>
        </w:rPr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>Declaration: each assessment gains a field — “students must answer k of the choice questions” (e.g., 4 of 6). A question-unit is a group (Q3a+Q3b = one question) or an ungrouped choice question.</w:t>
      </w:r>
      <w:r>
        <w:rPr>
          <w:b w:val="0"/>
          <w:i w:val="0"/>
          <w:color w:val="1F2D3D"/>
          <w:sz w:val="22"/>
        </w:rPr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Rule R5 (shortfall): </w:t>
      </w:r>
      <w:r>
        <w:rPr>
          <w:b w:val="0"/>
          <w:i w:val="0"/>
          <w:color w:val="1F2D3D"/>
          <w:sz w:val="22"/>
        </w:rPr>
        <w:t>if a student attempts only u &lt; k question-units, the shortfall of (k − u) unattempted units is added to their calculation as zeros. The student is penalized for answers they were required to produce but could not.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Which units absorb the zeros: </w:t>
      </w:r>
      <w:r>
        <w:rPr>
          <w:b w:val="0"/>
          <w:i w:val="0"/>
          <w:color w:val="1F2D3D"/>
          <w:sz w:val="22"/>
        </w:rPr>
        <w:t>the unattempted units with the highest maximum marks — a deterministic, conservative convention (never flatters the student), stated in the printed methodology note.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 xml:space="preserve">Absent students: </w:t>
      </w:r>
      <w:r>
        <w:rPr>
          <w:b w:val="0"/>
          <w:i w:val="0"/>
          <w:color w:val="1F2D3D"/>
          <w:sz w:val="22"/>
        </w:rPr>
        <w:t>a student with no marks anywhere in the assessment is treated as absent from it and excluded from its calculations, rather than receiving k phantom zeros.</w:t>
      </w:r>
    </w:p>
    <w:p>
      <w:pPr>
        <w:spacing w:after="120"/>
      </w:pPr>
      <w:r>
        <w:rPr>
          <w:b w:val="0"/>
          <w:i w:val="0"/>
          <w:color w:val="1F2D3D"/>
        </w:rPr>
        <w:t>Worked example: the Final offers six choice questions of 15 marks each (all CO3) with k = 4. A student answers two, scoring 12 and 9. Attempted units u = 2, shortfall = 2 → two phantom zeros join the calculation: CO3 score = (12+9) ÷ (4×15) = 21/60 = 35% — instead of the flattering 21/30 = 70%.</w:t>
      </w:r>
    </w:p>
    <w:p>
      <w:pPr>
        <w:spacing w:after="120"/>
      </w:pPr>
      <w:r>
        <w:rPr>
          <w:b/>
          <w:i w:val="0"/>
          <w:color w:val="1F2D3D"/>
        </w:rPr>
        <w:t xml:space="preserve">Design recommendation (removes all ambiguity): </w:t>
      </w:r>
      <w:r>
        <w:rPr>
          <w:b w:val="0"/>
          <w:i w:val="0"/>
          <w:color w:val="1F2D3D"/>
        </w:rPr>
        <w:t>offer choice within a CO using equal-mark questions. Then every candidate phantom question is interchangeable, the highest-marks convention becomes irrelevant, and every legal answer pattern samples every CO. This is worth adding to the vetters' checklist.</w:t>
      </w:r>
    </w:p>
    <w:p>
      <w:pPr>
        <w:pStyle w:val="Heading1"/>
      </w:pPr>
      <w:r>
        <w:rPr>
          <w:rFonts w:ascii="Calibri" w:hAnsi="Calibri"/>
          <w:color w:val="0A4A40"/>
        </w:rPr>
        <w:t>Annex B — v1.79: Class Performance (CP) assessments</w:t>
      </w:r>
    </w:p>
    <w:p>
      <w:pPr>
        <w:spacing w:after="120"/>
      </w:pPr>
      <w:r>
        <w:rPr>
          <w:b w:val="0"/>
          <w:i w:val="0"/>
          <w:color w:val="1F2D3D"/>
        </w:rPr>
        <w:t>Class performance is difficult to attribute to a single CO, so a CP assessment carries no authored questions. The teacher sets a total (typically 10) and ticks the COs the CP covers; the app maintains one internal item per ticked CO, each holding an equal share of the total (10 over 3 COs = 3.3333 each, stored to four decimals).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>One mark per student: the marks grid shows a single CP column per CP assessment. The entered mark is distributed equally over the ticked COs, so every one of them receives the SAME percentage — a CP of 8/10 contributes 80% to each CO it covers.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>No new rules: once distributed, the per-CO shares are ordinary mandatory items and follow R1–R2 exactly as any other item. A blank CP cell leaves the student unassessed on those shares rather than scoring zero.</w:t>
      </w:r>
    </w:p>
    <w:p>
      <w:pPr>
        <w:pStyle w:val="ListBullet"/>
        <w:spacing w:after="80"/>
      </w:pPr>
      <w:r>
        <w:rPr>
          <w:b/>
          <w:i w:val="0"/>
          <w:color w:val="1F2D3D"/>
          <w:sz w:val="22"/>
        </w:rPr>
        <w:t>Courses taught in parts: add one CP assessment per part (e.g., “CP — Part A”, “CP — Part B”), each with its own total and its own ticked COs. Each part's teacher fills only their own column, and the shares simply add to the COs they cover.</w:t>
      </w:r>
    </w:p>
    <w:p>
      <w:pPr>
        <w:spacing w:after="120"/>
      </w:pPr>
      <w:r>
        <w:rPr>
          <w:b w:val="0"/>
          <w:i w:val="0"/>
          <w:color w:val="1F2D3D"/>
        </w:rPr>
        <w:t>Because the split is equal by construction, a CP cannot discriminate between the COs it covers — it raises or lowers them together. Keep the CP total modest relative to the COs' other marks so that genuine, CO-specific evidence continues to dominate each attainment figure.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D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