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7E1419"/>
          <w:sz w:val="40"/>
          <w:szCs w:val="40"/>
        </w:rPr>
        <w:t xml:space="preserve">How OBEsoft Calculates CO &amp; PO Attainment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470"/>
          <w:sz w:val="24"/>
          <w:szCs w:val="24"/>
        </w:rPr>
        <w:t xml:space="preserve">A methodology guide for faculty members — interpreting the numbers with confidence</w:t>
      </w:r>
    </w:p>
    <w:p>
      <w:pPr>
        <w:shd w:fill="F4F6F8" w:color="auto" w:val="clear"/>
        <w:spacing w:after="160" w:before="60" w:line="276"/>
        <w:ind w:left="120" w:right="12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Applies to OBEsoft-v2 (PHP/SQLite web application), September 2026. It replaces, for this application, the v2.19 guide </w:t>
      </w:r>
      <w:r>
        <w:rPr>
          <w:rFonts w:ascii="Calibri" w:cs="Calibri" w:eastAsia="Calibri" w:hAnsi="Calibri"/>
          <w:i/>
          <w:iCs/>
          <w:color w:val="1F2937"/>
          <w:sz w:val="22"/>
          <w:szCs w:val="22"/>
        </w:rPr>
        <w:t xml:space="preserve">Attainment_Calculation_Methodology.docx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, which still describes the standalone edition preserved in the legacy folder. Section 9 lists what changed.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1. The building blocks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Everything is computed from how questions are set up in the Assessments tab. Every question (or sub-part) carries these properties: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Property</w:t>
            </w:r>
          </w:p>
        </w:tc>
        <w:tc>
          <w:tcPr>
            <w:tcW w:type="dxa" w:w="7438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CO</w:t>
            </w:r>
          </w:p>
        </w:tc>
        <w:tc>
          <w:tcPr>
            <w:tcW w:type="dxa" w:w="7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The Course Outcome the question examines. This is what connects marks to outcomes.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Max</w:t>
            </w:r>
          </w:p>
        </w:tc>
        <w:tc>
          <w:tcPr>
            <w:tcW w:type="dxa" w:w="7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The question's full marks.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Optional</w:t>
            </w:r>
          </w:p>
        </w:tc>
        <w:tc>
          <w:tcPr>
            <w:tcW w:type="dxa" w:w="7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Unticked (default): every student must answer it. Ticked: part of a choice, e.g. “answer any three of four”.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Group</w:t>
            </w:r>
          </w:p>
        </w:tc>
        <w:tc>
          <w:tcPr>
            <w:tcW w:type="dxa" w:w="7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Sub-parts of one optional question share a group name (Q3a, Q3b → “Q3”). The group is the unit of the student's choice.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Answer any k</w:t>
            </w:r>
          </w:p>
        </w:tc>
        <w:tc>
          <w:tcPr>
            <w:tcW w:type="dxa" w:w="7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Set on the assessment when it has optional questions: how many optional questions (a group counts as one) each student must answer.</w:t>
            </w:r>
          </w:p>
        </w:tc>
      </w:tr>
    </w:tbl>
    <w:p>
      <w:pPr>
        <w:spacing w:after="120"/>
      </w:pPr>
    </w:p>
    <w:p>
      <w:pPr>
        <w:shd w:fill="F4F6F8" w:color="auto" w:val="clear"/>
        <w:spacing w:after="160" w:before="60" w:line="276"/>
        <w:ind w:left="120" w:right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Blank is not zero.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In the marks grid a blank cell means “the student did not attempt this question”; an entered 0 means “attempted and scored zero”. The fairness rules below depend on this difference.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2. Step 1 — each student's CO score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Student CO score (%) = marks obtained on the counted questions ÷ maximum marks of those questions × 100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A question counts for a student according to these rules, applied in order: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100"/>
        <w:gridCol w:w="4638"/>
      </w:tblGrid>
      <w:tr>
        <w:trPr>
          <w:tblHeader/>
        </w:trPr>
        <w:tc>
          <w:tcPr>
            <w:tcW w:type="dxa" w:w="9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Rule</w:t>
            </w:r>
          </w:p>
        </w:tc>
        <w:tc>
          <w:tcPr>
            <w:tcW w:type="dxa" w:w="41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Situation</w:t>
            </w:r>
          </w:p>
        </w:tc>
        <w:tc>
          <w:tcPr>
            <w:tcW w:type="dxa" w:w="4638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Effect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R1</w:t>
            </w:r>
          </w:p>
        </w:tc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Question attempted (any mark entered, including 0)</w:t>
            </w:r>
          </w:p>
        </w:tc>
        <w:tc>
          <w:tcPr>
            <w:tcW w:type="dxa" w:w="4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Counts: marks and maximum included.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R2</w:t>
            </w:r>
          </w:p>
        </w:tc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Mandatory question left blank</w:t>
            </w:r>
          </w:p>
        </w:tc>
        <w:tc>
          <w:tcPr>
            <w:tcW w:type="dxa" w:w="4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Counts as 0: attempting it was required.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R3</w:t>
            </w:r>
          </w:p>
        </w:tc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Optional question blank, but another part of the same group attempted</w:t>
            </w:r>
          </w:p>
        </w:tc>
        <w:tc>
          <w:tcPr>
            <w:tcW w:type="dxa" w:w="4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Counts as 0: the student chose this question; an unanswered part is an incomplete answer.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R4</w:t>
            </w:r>
          </w:p>
        </w:tc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Optional question blank and its group untouched</w:t>
            </w:r>
          </w:p>
        </w:tc>
        <w:tc>
          <w:tcPr>
            <w:tcW w:type="dxa" w:w="4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Excluded: the student legitimately used the choice offered.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R5</w:t>
            </w:r>
          </w:p>
        </w:tc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“Answer any k”: fewer than k optional questions attempted</w:t>
            </w:r>
          </w:p>
        </w:tc>
        <w:tc>
          <w:tcPr>
            <w:tcW w:type="dxa" w:w="4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The missing ones are added as zeros, highest maximum first.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Absent</w:t>
            </w:r>
          </w:p>
        </w:tc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With “answer any k” set, no mark anywhere in that assessment</w:t>
            </w:r>
          </w:p>
        </w:tc>
        <w:tc>
          <w:tcPr>
            <w:tcW w:type="dxa" w:w="4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The whole assessment is excluded for that student.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If nothing counts for a student under a CO, that student is left out of the CO (shown as “—”), so different COs can have a different number of students. Marks above a question's maximum are capped at the maximum.</w:t>
      </w:r>
    </w:p>
    <w:p>
      <w:pPr>
        <w:keepNext/>
        <w:spacing w:after="120" w:before="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Worked example.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Final exam: Q1 (mandatory, 20, CO1); choice question Q3 with parts Q3a and Q3b (10 each, CO2, group “Q3”); optional Q4 (20, CO2).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100"/>
        <w:gridCol w:w="1300"/>
        <w:gridCol w:w="1500"/>
        <w:gridCol w:w="3838"/>
      </w:tblGrid>
      <w:tr>
        <w:trPr>
          <w:tblHeader/>
        </w:trPr>
        <w:tc>
          <w:tcPr>
            <w:tcW w:type="dxa" w:w="9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Student</w:t>
            </w:r>
          </w:p>
        </w:tc>
        <w:tc>
          <w:tcPr>
            <w:tcW w:type="dxa" w:w="21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Marks entered</w:t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CO1</w:t>
            </w:r>
          </w:p>
        </w:tc>
        <w:tc>
          <w:tcPr>
            <w:tcW w:type="dxa" w:w="15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CO2</w:t>
            </w:r>
          </w:p>
        </w:tc>
        <w:tc>
          <w:tcPr>
            <w:tcW w:type="dxa" w:w="3838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Q1 = 15, Q3a = 8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15/20 = 75%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(8+0)/20 = 40%</w:t>
            </w:r>
          </w:p>
        </w:tc>
        <w:tc>
          <w:tcPr>
            <w:tcW w:type="dxa" w:w="38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Chose Q3, so blank Q3b counts as 0 (R3); Q4 untouched, excluded (R4).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B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Q1 = 10, Q4 = 16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10/20 = 50%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16/20 = 80%</w:t>
            </w:r>
          </w:p>
        </w:tc>
        <w:tc>
          <w:tcPr>
            <w:tcW w:type="dxa" w:w="38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Skipped Q3 entirely, excluded (R4); Q4 counts (R1).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Q1 = 12, Q3a = 6, Q3b = 7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12/20 = 60%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13/20 = 65%</w:t>
            </w:r>
          </w:p>
        </w:tc>
        <w:tc>
          <w:tcPr>
            <w:tcW w:type="dxa" w:w="38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Full answer to the chosen question (R1).</w:t>
            </w:r>
          </w:p>
        </w:tc>
      </w:tr>
    </w:tbl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3. Step 2 — CO attainment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CO attainment (%) = students with CO score above Target Pass Marks ÷ students assessed on the CO × 100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“Above” is strict: with Target Pass Marks 40, a score of exactly 40% does not pass. The CO is </w:t>
      </w: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attained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when this percentage reaches the Target KPI (default 50%). The share of students above the KPI marks (default 50) is shown alongside.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Example: CO2 scores 40, 80, 65 → B and C are above 40 → 2 of 3 = 66.7% ≥ 50% → attained. CO1 scores 75, 50, 60 → all above 40 → 100%.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4. Step 3 — each student's PO score and PO attainment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A CO contributes to a Program Outcome through the CO–PO matrix, where 1, 2 and 3 mean slight, moderate and substantial correlation. Each CO's strengths are first </w:t>
      </w: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normalised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so that a CO mapped to several POs shares its influence between them: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w(CO, PO) = strength(CO, PO) ÷ sum of that CO's strengths across all POs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Student PO score = Σ w × CO score ÷ Σ w   (over the COs the student was assessed on)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This is exactly the calculation of the original OBE Calculation Aid. PO attainment then uses the same thresholds as COs: the share of students above Target Pass Marks, judged against the Target KPI.</w:t>
      </w:r>
    </w:p>
    <w:p>
      <w:pPr>
        <w:keepNext/>
        <w:spacing w:after="120" w:before="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Real example (CE 207, January 2023, student 2004001).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CO scores 83, 49, 10, 42, 0. CO–PO strengths for PO1: 3, 1, 2, 1, 1; each CO's strengths across all POs sum to 4, 4, 5, 4, 4.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38"/>
        <w:gridCol w:w="1300"/>
        <w:gridCol w:w="1300"/>
        <w:gridCol w:w="1300"/>
        <w:gridCol w:w="1300"/>
        <w:gridCol w:w="1300"/>
        <w:gridCol w:w="1500"/>
      </w:tblGrid>
      <w:tr>
        <w:trPr>
          <w:tblHeader/>
        </w:trPr>
        <w:tc>
          <w:tcPr>
            <w:tcW w:type="dxa" w:w="1638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CO1</w:t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CO2</w:t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CO3</w:t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CO4</w:t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CO5</w:t>
            </w:r>
          </w:p>
        </w:tc>
        <w:tc>
          <w:tcPr>
            <w:tcW w:type="dxa" w:w="15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 score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83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49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42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0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w for PO1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3/4 = 0.75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1/4 = 0.25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2/5 = 0.40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1/4 = 0.25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1/4 = 0.25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1.90</w:t>
            </w:r>
          </w:p>
        </w:tc>
      </w:tr>
      <w:tr>
        <w:trPr>
          <w:cantSplit/>
        </w:trPr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w × score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62.25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12.25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4.00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10.50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0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89.00</w:t>
            </w:r>
          </w:p>
        </w:tc>
      </w:tr>
    </w:tbl>
    <w:p>
      <w:pPr>
        <w:spacing w:after="120" w:before="10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PO1 = 89.00 ÷ 1.90 = </w:t>
      </w: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46.84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— the same value as the original report.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With the worked example of section 2 (CO1 → PO1 strength 3; CO2 → PO1 strength 1 and PO2 strength 3), PO1 weights are 1.00 (CO1) and 0.25 (CO2): student A scores (75 + 0.25 × 40) ÷ 1.25 = 68.0, B 56.0 and C 61.0, so PO1 attainment is 100%.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5. Indirect measurement — the CO exit survey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At the end of the semester students rate every CO — “After completing this course, I am able to …” — on a 5-point scale (5 = strongly agree … 1 = strongly disagree). In the CO Exit Survey tab the teacher enters how many students chose each rating.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Indirect CO attainment (%) = responses rated at or above the Likert pass rating (default 4) ÷ all responses × 100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Indirect PO values use the same normalised CO–PO weights as section 4. Example: CO2 receives 20 responses — one 1, one 2, two 3s, six 4s and ten 5s. Sixteen are rated 4 or higher, so indirect attainment is 80%; the average rating is 4.15.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6. Combined attainment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Combined = (Direct × wDirect + Indirect × wIndirect) ÷ 100     (default 80 / 20)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If one component has no data the other is used alone. The combined value is judged against the same Target KPI. Example: CO2 direct 66.7%, indirect 80% → 0.8 × 66.7 + 0.2 × 80 = 69.3% → attained. The Attainment tab and the Attainment Report in Documents show direct, indirect and combined side by side.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7. Student Outcome Profile — one student across all courses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When a course is marked Completed, every student's PO scores from that course are saved. Reopening the course removes them until it is completed again, and a student with no mark at all in a course (absent or withdrawn) gets nothing from it. The profile then combines the saved scores:</w:t>
      </w:r>
    </w:p>
    <w:p>
      <w:pPr>
        <w:pBdr>
          <w:left w:val="single" w:color="7E1419" w:sz="18" w:space="8"/>
        </w:pBdr>
        <w:shd w:fill="F4F6F8" w:color="auto" w:val="clear"/>
        <w:spacing w:after="160" w:before="80"/>
        <w:jc w:val="center"/>
      </w:pPr>
      <w:r>
        <w:rPr>
          <w:rFonts w:ascii="Cambria Math" w:cs="Cambria Math" w:eastAsia="Cambria Math" w:hAnsi="Cambria Math"/>
          <w:color w:val="1F2937"/>
          <w:sz w:val="22"/>
          <w:szCs w:val="22"/>
        </w:rPr>
        <w:t xml:space="preserve">Profile PO score = Σ (course PO score × course weight) ÷ Σ course weight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Course weight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for a PO = course credit × the sum of the CO–PO strengths of that PO in the course, so a 4-credit course that addresses the PO strongly counts more than a 1.5-credit course that touches it lightly.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Retakes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: a course code taken more than once counts once, with the best score per PO.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Same-course average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: the average profile of all students in the same course offerings, weighted the same way, drawn on the radar for comparison.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Cumulative curve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: the profile recomputed after each term, showing whether a PO is improving as the student progresses.</w:t>
      </w:r>
    </w:p>
    <w:p>
      <w:pPr>
        <w:spacing w:after="120" w:before="8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Example.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PO1 scores: CE 101 (January 2023, 3 credits, strength 3) 80; CE 102 (July 2023, 4 credits, strength 2) 60; CE 101 retaken (January 2024) 90. Weights 3 × 3 = 9 and 4 × 2 = 8. Profile PO1 = (90 × 9 + 60 × 8) ÷ 17 = </w:t>
      </w: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75.9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. The curve reads 80.0 → 70.6 → 75.9 across the three terms.</w:t>
      </w:r>
    </w:p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8. Reading the numbers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n varies per CO by design.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A small n on a CO assessed only through choice questions means few students chose it — a curriculum signal in itself.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Average score vs. attainment.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The average shows how well the class performed; attainment shows how many cleared the bar. A high average with low attainment indicates a split class.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“No marks yet” is not a failure.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A CO with no questions or no entered marks is shown as not assessed rather than 0%.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Thresholds are policy.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All settings below are editable per course, and every printed report states the values used.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300"/>
        <w:gridCol w:w="3938"/>
      </w:tblGrid>
      <w:tr>
        <w:trPr>
          <w:tblHeader/>
        </w:trPr>
        <w:tc>
          <w:tcPr>
            <w:tcW w:type="dxa" w:w="44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Setting</w:t>
            </w:r>
          </w:p>
        </w:tc>
        <w:tc>
          <w:tcPr>
            <w:tcW w:type="dxa" w:w="13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Default</w:t>
            </w:r>
          </w:p>
        </w:tc>
        <w:tc>
          <w:tcPr>
            <w:tcW w:type="dxa" w:w="3938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Where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Target Pass Marks (student pass line per CO/PO)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40</w:t>
            </w:r>
          </w:p>
        </w:tc>
        <w:tc>
          <w:tcPr>
            <w:tcW w:type="dxa" w:w="39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Course Overview → Student Pass Mark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KPI marks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50</w:t>
            </w:r>
          </w:p>
        </w:tc>
        <w:tc>
          <w:tcPr>
            <w:tcW w:type="dxa" w:w="39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Course Overview → KPI Pass Marks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Target KPI (share of students that must pass)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50%</w:t>
            </w:r>
          </w:p>
        </w:tc>
        <w:tc>
          <w:tcPr>
            <w:tcW w:type="dxa" w:w="39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Course Overview → Cohort Benchmark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Likert pass rating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4</w:t>
            </w:r>
          </w:p>
        </w:tc>
        <w:tc>
          <w:tcPr>
            <w:tcW w:type="dxa" w:w="39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 Exit Survey tab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Direct / Indirect weights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80 / 20</w:t>
            </w:r>
          </w:p>
        </w:tc>
        <w:tc>
          <w:tcPr>
            <w:tcW w:type="dxa" w:w="39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Course Overview → Direct / Indirect Ratio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Starting values for new courses (all of the above)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9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Setup → Attainment Defaults</w:t>
            </w:r>
          </w:p>
        </w:tc>
      </w:tr>
    </w:tbl>
    <w:p>
      <w:pPr>
        <w:pStyle w:val="Heading1"/>
        <w:keepNext/>
        <w:pBdr>
          <w:bottom w:val="single" w:color="E3C7CA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7E1419"/>
          <w:sz w:val="28"/>
          <w:szCs w:val="28"/>
        </w:rPr>
        <w:t xml:space="preserve">9. What changed from the v2.19 standalone edition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500"/>
        <w:gridCol w:w="3738"/>
      </w:tblGrid>
      <w:tr>
        <w:trPr>
          <w:tblHeader/>
        </w:trPr>
        <w:tc>
          <w:tcPr>
            <w:tcW w:type="dxa" w:w="24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Topic</w:t>
            </w:r>
          </w:p>
        </w:tc>
        <w:tc>
          <w:tcPr>
            <w:tcW w:type="dxa" w:w="3500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v2.19 standalone</w:t>
            </w:r>
          </w:p>
        </w:tc>
        <w:tc>
          <w:tcPr>
            <w:tcW w:type="dxa" w:w="3738"/>
            <w:shd w:fill="F3E6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OBEsoft-v2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Student PO score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Average of CO scores weighted by each CO's allocated marks; the CO–PO strength (1/2/3) is ignored</w:t>
            </w:r>
          </w:p>
        </w:tc>
        <w:tc>
          <w:tcPr>
            <w:tcW w:type="dxa" w:w="37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Weighted by the normalised CO–PO strength (section 4), as in the original OBE Calculation Aid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Indirect PO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Weighted by CO allocated marks</w:t>
            </w:r>
          </w:p>
        </w:tc>
        <w:tc>
          <w:tcPr>
            <w:tcW w:type="dxa" w:w="37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Same normalised CO–PO weights as direct PO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Question rules R1–R5, thresholds, combined formula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As described</w:t>
            </w:r>
          </w:p>
        </w:tc>
        <w:tc>
          <w:tcPr>
            <w:tcW w:type="dxa" w:w="37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Unchanged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Class Performance assessments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Automatic equal split over ticked COs</w:t>
            </w:r>
          </w:p>
        </w:tc>
        <w:tc>
          <w:tcPr>
            <w:tcW w:type="dxa" w:w="37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Entered like any assessment: one question per CO it covers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Across courses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Not available</w:t>
            </w:r>
          </w:p>
        </w:tc>
        <w:tc>
          <w:tcPr>
            <w:tcW w:type="dxa" w:w="37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Student Outcome Profile (section 7)</w:t>
            </w:r>
          </w:p>
        </w:tc>
      </w:tr>
    </w:tbl>
    <w:p>
      <w:pPr>
        <w:spacing w:after="120" w:before="200" w:line="276"/>
      </w:pPr>
      <w:r>
        <w:rPr>
          <w:rFonts w:ascii="Calibri" w:cs="Calibri" w:eastAsia="Calibri" w:hAnsi="Calibri"/>
          <w:color w:val="5B6470"/>
          <w:sz w:val="20"/>
          <w:szCs w:val="20"/>
        </w:rPr>
        <w:t xml:space="preserve">For developers: the rules are implemented in </w:t>
      </w:r>
      <w:r>
        <w:rPr>
          <w:rFonts w:ascii="Calibri" w:cs="Calibri" w:eastAsia="Calibri" w:hAnsi="Calibri"/>
          <w:i/>
          <w:iCs/>
          <w:color w:val="5B6470"/>
          <w:sz w:val="20"/>
          <w:szCs w:val="20"/>
        </w:rPr>
        <w:t xml:space="preserve">public/assets/js/attainment-engine.js</w:t>
      </w:r>
      <w:r>
        <w:rPr>
          <w:rFonts w:ascii="Calibri" w:cs="Calibri" w:eastAsia="Calibri" w:hAnsi="Calibri"/>
          <w:color w:val="5B6470"/>
          <w:sz w:val="20"/>
          <w:szCs w:val="20"/>
        </w:rPr>
        <w:t xml:space="preserve"> (browser) and </w:t>
      </w:r>
      <w:r>
        <w:rPr>
          <w:rFonts w:ascii="Calibri" w:cs="Calibri" w:eastAsia="Calibri" w:hAnsi="Calibri"/>
          <w:i/>
          <w:iCs/>
          <w:color w:val="5B6470"/>
          <w:sz w:val="20"/>
          <w:szCs w:val="20"/>
        </w:rPr>
        <w:t xml:space="preserve">src/Services/AttainmentService.php</w:t>
      </w:r>
      <w:r>
        <w:rPr>
          <w:rFonts w:ascii="Calibri" w:cs="Calibri" w:eastAsia="Calibri" w:hAnsi="Calibri"/>
          <w:color w:val="5B6470"/>
          <w:sz w:val="20"/>
          <w:szCs w:val="20"/>
        </w:rPr>
        <w:t xml:space="preserve"> (server, used for saved profiles). Both are tested against the same hand-checked cases and against each other on random data.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470"/>
        <w:sz w:val="16"/>
        <w:szCs w:val="16"/>
      </w:rPr>
      <w:t xml:space="preserve">OBEsoft attainment methodology · page </w:t>
    </w:r>
    <w:r>
      <w:rPr>
        <w:rFonts w:ascii="Calibri" w:cs="Calibri" w:eastAsia="Calibri" w:hAnsi="Calibri"/>
        <w:color w:val="5B64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OBEsoft Calculates CO &amp; PO Attainment</dc:title>
  <dc:creator>OBEsoft</dc:creator>
  <cp:lastModifiedBy>Un-named</cp:lastModifiedBy>
  <cp:revision>1</cp:revision>
  <dcterms:created xsi:type="dcterms:W3CDTF">2026-09-27T06:22:51.195Z</dcterms:created>
  <dcterms:modified xsi:type="dcterms:W3CDTF">2026-09-27T06:22:51.196Z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